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89BD" w14:textId="77777777" w:rsidR="00CF0F00" w:rsidRPr="00D57EC8" w:rsidRDefault="00CF0F00" w:rsidP="00CF0F00">
      <w:pPr>
        <w:jc w:val="center"/>
        <w:rPr>
          <w:b/>
          <w:bCs/>
          <w:color w:val="0070C0"/>
          <w:sz w:val="28"/>
          <w:szCs w:val="28"/>
        </w:rPr>
      </w:pPr>
      <w:r w:rsidRPr="00D57EC8">
        <w:rPr>
          <w:b/>
          <w:bCs/>
          <w:color w:val="0070C0"/>
          <w:sz w:val="28"/>
          <w:szCs w:val="28"/>
        </w:rPr>
        <w:t>INDOSILE FESTIVAL 2025</w:t>
      </w:r>
    </w:p>
    <w:p w14:paraId="12E6E01E" w14:textId="355C7F1E" w:rsidR="00CF0F00" w:rsidRPr="00D57EC8" w:rsidRDefault="00CF0F00" w:rsidP="00CF0F0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MARDI 12</w:t>
      </w:r>
      <w:r w:rsidRPr="00D57EC8">
        <w:rPr>
          <w:b/>
          <w:bCs/>
          <w:color w:val="0070C0"/>
          <w:sz w:val="28"/>
          <w:szCs w:val="28"/>
        </w:rPr>
        <w:t xml:space="preserve"> AOUT 2025</w:t>
      </w:r>
    </w:p>
    <w:p w14:paraId="3E30AB2D" w14:textId="3287F3FB" w:rsidR="00CF0F00" w:rsidRDefault="00CF0F00" w:rsidP="00CF0F0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ORCHESTRE DE CHAMBRE DE LA NOUVELLE EUROPE</w:t>
      </w:r>
    </w:p>
    <w:p w14:paraId="4F0FC1EF" w14:textId="4F08B212" w:rsidR="00CF0F00" w:rsidRDefault="00CF0F00" w:rsidP="00CF0F0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Direction Nicolas Krauze</w:t>
      </w:r>
    </w:p>
    <w:p w14:paraId="0861DAE9" w14:textId="58B79329" w:rsidR="00CF0F00" w:rsidRPr="00D57EC8" w:rsidRDefault="00CF0F00" w:rsidP="00CF0F0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+ solistes violon, hautbois, basson, violoncelle, soprano</w:t>
      </w:r>
    </w:p>
    <w:p w14:paraId="3B50EB61" w14:textId="77777777" w:rsidR="003D5269" w:rsidRDefault="003D5269"/>
    <w:p w14:paraId="6C8EB6E2" w14:textId="631FF08B" w:rsidR="003D5269" w:rsidRPr="00CF0F00" w:rsidRDefault="003D5269" w:rsidP="00705BF0">
      <w:pPr>
        <w:rPr>
          <w:b/>
          <w:bCs/>
          <w:color w:val="0070C0"/>
        </w:rPr>
      </w:pPr>
      <w:r w:rsidRPr="00CF0F00">
        <w:rPr>
          <w:b/>
          <w:bCs/>
          <w:color w:val="0070C0"/>
        </w:rPr>
        <w:t xml:space="preserve">Programme : </w:t>
      </w:r>
      <w:r w:rsidR="00705BF0" w:rsidRPr="00CF0F00">
        <w:rPr>
          <w:b/>
          <w:bCs/>
          <w:color w:val="0070C0"/>
        </w:rPr>
        <w:t xml:space="preserve">La </w:t>
      </w:r>
      <w:r w:rsidR="00393ACC" w:rsidRPr="00CF0F00">
        <w:rPr>
          <w:b/>
          <w:bCs/>
          <w:color w:val="0070C0"/>
        </w:rPr>
        <w:t>Nuit Vivaldi</w:t>
      </w:r>
    </w:p>
    <w:p w14:paraId="6F9B2D55" w14:textId="77777777" w:rsidR="00705BF0" w:rsidRDefault="00705BF0" w:rsidP="003D5269">
      <w:pPr>
        <w:rPr>
          <w:b/>
          <w:bCs/>
        </w:rPr>
      </w:pPr>
    </w:p>
    <w:p w14:paraId="394F1B6A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>Vivaldi : Concerto pour 2 violons</w:t>
      </w:r>
      <w:r>
        <w:rPr>
          <w:i/>
          <w:iCs/>
          <w:color w:val="000000"/>
        </w:rPr>
        <w:t xml:space="preserve"> RV522 en la mineur</w:t>
      </w:r>
    </w:p>
    <w:p w14:paraId="428C31DE" w14:textId="41940993" w:rsidR="00705BF0" w:rsidRDefault="00CF0F00" w:rsidP="00705BF0">
      <w:pPr>
        <w:jc w:val="center"/>
        <w:rPr>
          <w:color w:val="000000"/>
        </w:rPr>
      </w:pPr>
      <w:r>
        <w:rPr>
          <w:i/>
          <w:iCs/>
          <w:color w:val="000000"/>
        </w:rPr>
        <w:t>soliste</w:t>
      </w:r>
      <w:r w:rsidR="00705BF0">
        <w:rPr>
          <w:i/>
          <w:iCs/>
          <w:color w:val="000000"/>
        </w:rPr>
        <w:t xml:space="preserve"> violon</w:t>
      </w:r>
    </w:p>
    <w:p w14:paraId="1761EBF1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>Vivaldi : Concerto pour hautbois</w:t>
      </w:r>
      <w:r>
        <w:rPr>
          <w:i/>
          <w:iCs/>
          <w:color w:val="000000"/>
        </w:rPr>
        <w:t xml:space="preserve"> RV447 en do majeur</w:t>
      </w:r>
    </w:p>
    <w:p w14:paraId="357B365D" w14:textId="0312F015" w:rsidR="00705BF0" w:rsidRDefault="00CF0F00" w:rsidP="00705BF0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soliste</w:t>
      </w:r>
      <w:r w:rsidR="00705BF0">
        <w:rPr>
          <w:i/>
          <w:iCs/>
          <w:color w:val="000000"/>
        </w:rPr>
        <w:t xml:space="preserve"> hautbois</w:t>
      </w:r>
    </w:p>
    <w:p w14:paraId="52E15E42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>Vivaldi : Concerto pour basson</w:t>
      </w:r>
      <w:r>
        <w:rPr>
          <w:i/>
          <w:iCs/>
          <w:color w:val="000000"/>
        </w:rPr>
        <w:t xml:space="preserve"> RV493 en sol majeur</w:t>
      </w:r>
    </w:p>
    <w:p w14:paraId="6A4E552A" w14:textId="2F12EC8F" w:rsidR="00705BF0" w:rsidRDefault="00CF0F00" w:rsidP="00705BF0">
      <w:pPr>
        <w:jc w:val="center"/>
        <w:rPr>
          <w:color w:val="000000"/>
        </w:rPr>
      </w:pPr>
      <w:r>
        <w:rPr>
          <w:i/>
          <w:iCs/>
          <w:color w:val="000000"/>
        </w:rPr>
        <w:t>soliste</w:t>
      </w:r>
      <w:r w:rsidR="00705BF0">
        <w:rPr>
          <w:i/>
          <w:iCs/>
          <w:color w:val="000000"/>
        </w:rPr>
        <w:t xml:space="preserve"> basson</w:t>
      </w:r>
    </w:p>
    <w:p w14:paraId="5A261861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 xml:space="preserve">Vivaldi : In </w:t>
      </w:r>
      <w:proofErr w:type="spellStart"/>
      <w:r>
        <w:rPr>
          <w:color w:val="000000"/>
        </w:rPr>
        <w:t>furore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iustissimae</w:t>
      </w:r>
      <w:proofErr w:type="spellEnd"/>
      <w:r>
        <w:rPr>
          <w:color w:val="000000"/>
        </w:rPr>
        <w:t xml:space="preserve"> irae</w:t>
      </w:r>
    </w:p>
    <w:p w14:paraId="54F3B8D3" w14:textId="1B5731DB" w:rsidR="00705BF0" w:rsidRDefault="00CF0F00" w:rsidP="00705BF0">
      <w:pPr>
        <w:jc w:val="center"/>
        <w:rPr>
          <w:color w:val="000000"/>
        </w:rPr>
      </w:pPr>
      <w:r>
        <w:rPr>
          <w:i/>
          <w:iCs/>
          <w:color w:val="000000"/>
        </w:rPr>
        <w:t xml:space="preserve">Soliste </w:t>
      </w:r>
      <w:r w:rsidR="00705BF0">
        <w:rPr>
          <w:i/>
          <w:iCs/>
          <w:color w:val="000000"/>
        </w:rPr>
        <w:t>soprano</w:t>
      </w:r>
    </w:p>
    <w:p w14:paraId="25065391" w14:textId="77777777" w:rsidR="00705BF0" w:rsidRDefault="00705BF0" w:rsidP="00705BF0">
      <w:pPr>
        <w:jc w:val="center"/>
        <w:rPr>
          <w:color w:val="000000"/>
        </w:rPr>
      </w:pPr>
      <w:r>
        <w:rPr>
          <w:color w:val="000000"/>
        </w:rPr>
        <w:t>--- Entracte ---</w:t>
      </w:r>
    </w:p>
    <w:p w14:paraId="7EC0B524" w14:textId="77777777" w:rsidR="00705BF0" w:rsidRDefault="00705BF0" w:rsidP="00705BF0">
      <w:pPr>
        <w:jc w:val="center"/>
        <w:rPr>
          <w:color w:val="000000"/>
        </w:rPr>
      </w:pPr>
    </w:p>
    <w:p w14:paraId="41F2339E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>Vivaldi : Concerto pour 2 violoncelles</w:t>
      </w:r>
      <w:r>
        <w:rPr>
          <w:i/>
          <w:iCs/>
          <w:color w:val="000000"/>
        </w:rPr>
        <w:t xml:space="preserve"> RV531 en sol mineur</w:t>
      </w:r>
    </w:p>
    <w:p w14:paraId="07E843D1" w14:textId="54A6B4E9" w:rsidR="00705BF0" w:rsidRDefault="00CF0F00" w:rsidP="00705BF0">
      <w:pPr>
        <w:jc w:val="center"/>
        <w:rPr>
          <w:color w:val="000000"/>
        </w:rPr>
      </w:pPr>
      <w:r>
        <w:rPr>
          <w:i/>
          <w:iCs/>
          <w:color w:val="000000"/>
        </w:rPr>
        <w:t>soliste</w:t>
      </w:r>
      <w:r w:rsidR="00705BF0">
        <w:rPr>
          <w:i/>
          <w:iCs/>
          <w:color w:val="000000"/>
        </w:rPr>
        <w:t xml:space="preserve"> violoncelle &amp; basson</w:t>
      </w:r>
    </w:p>
    <w:p w14:paraId="747E68FD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>Marcello : Concerto pour hautbois</w:t>
      </w:r>
      <w:r>
        <w:rPr>
          <w:i/>
          <w:iCs/>
          <w:color w:val="000000"/>
        </w:rPr>
        <w:t xml:space="preserve"> en ré mineur</w:t>
      </w:r>
    </w:p>
    <w:p w14:paraId="6951A286" w14:textId="5D84804C" w:rsidR="00705BF0" w:rsidRDefault="00CF0F00" w:rsidP="00705BF0">
      <w:pPr>
        <w:jc w:val="center"/>
        <w:rPr>
          <w:color w:val="000000"/>
        </w:rPr>
      </w:pPr>
      <w:r>
        <w:rPr>
          <w:i/>
          <w:iCs/>
          <w:color w:val="000000"/>
        </w:rPr>
        <w:t>soliste</w:t>
      </w:r>
      <w:r w:rsidR="00705BF0">
        <w:rPr>
          <w:i/>
          <w:iCs/>
          <w:color w:val="000000"/>
        </w:rPr>
        <w:t xml:space="preserve"> hautbois</w:t>
      </w:r>
    </w:p>
    <w:p w14:paraId="7BD4E36A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 xml:space="preserve">Vivaldi : </w:t>
      </w:r>
      <w:proofErr w:type="spellStart"/>
      <w:r>
        <w:rPr>
          <w:color w:val="000000"/>
        </w:rPr>
        <w:t>Agitata</w:t>
      </w:r>
      <w:proofErr w:type="spellEnd"/>
      <w:r>
        <w:rPr>
          <w:color w:val="000000"/>
        </w:rPr>
        <w:t xml:space="preserve"> da due </w:t>
      </w:r>
      <w:proofErr w:type="spellStart"/>
      <w:r>
        <w:rPr>
          <w:color w:val="000000"/>
        </w:rPr>
        <w:t>venti</w:t>
      </w:r>
      <w:proofErr w:type="spellEnd"/>
    </w:p>
    <w:p w14:paraId="00E9AD20" w14:textId="5C73747D" w:rsidR="00705BF0" w:rsidRDefault="00CF0F00" w:rsidP="00705BF0">
      <w:pPr>
        <w:jc w:val="center"/>
        <w:rPr>
          <w:color w:val="000000"/>
        </w:rPr>
      </w:pPr>
      <w:r>
        <w:rPr>
          <w:i/>
          <w:iCs/>
          <w:color w:val="000000"/>
        </w:rPr>
        <w:t xml:space="preserve">Soliste </w:t>
      </w:r>
      <w:r w:rsidR="00705BF0">
        <w:rPr>
          <w:i/>
          <w:iCs/>
          <w:color w:val="000000"/>
        </w:rPr>
        <w:t>soprano</w:t>
      </w:r>
    </w:p>
    <w:p w14:paraId="1FA366DD" w14:textId="77777777" w:rsidR="00705BF0" w:rsidRDefault="00705BF0" w:rsidP="00705BF0">
      <w:pPr>
        <w:jc w:val="center"/>
        <w:rPr>
          <w:i/>
          <w:iCs/>
          <w:color w:val="000000"/>
        </w:rPr>
      </w:pPr>
      <w:r>
        <w:rPr>
          <w:color w:val="000000"/>
        </w:rPr>
        <w:t>Vivaldi : Concerto pour 4 violons</w:t>
      </w:r>
      <w:r>
        <w:rPr>
          <w:i/>
          <w:iCs/>
          <w:color w:val="000000"/>
        </w:rPr>
        <w:t xml:space="preserve"> RV580 en si mineur</w:t>
      </w:r>
    </w:p>
    <w:p w14:paraId="05B27585" w14:textId="77777777" w:rsidR="00CF0F00" w:rsidRDefault="00CF0F00" w:rsidP="00CF0F00">
      <w:pPr>
        <w:jc w:val="center"/>
        <w:rPr>
          <w:color w:val="000000"/>
        </w:rPr>
      </w:pPr>
      <w:r>
        <w:rPr>
          <w:i/>
          <w:iCs/>
          <w:color w:val="000000"/>
        </w:rPr>
        <w:t>soliste violon</w:t>
      </w:r>
    </w:p>
    <w:p w14:paraId="72133829" w14:textId="77777777" w:rsidR="00705BF0" w:rsidRDefault="00705BF0" w:rsidP="00705BF0">
      <w:pPr>
        <w:jc w:val="center"/>
        <w:rPr>
          <w:b/>
          <w:bCs/>
          <w:i/>
          <w:iCs/>
          <w:color w:val="000000"/>
        </w:rPr>
      </w:pPr>
    </w:p>
    <w:p w14:paraId="63BCD948" w14:textId="77777777" w:rsidR="00705BF0" w:rsidRDefault="00705BF0" w:rsidP="00705BF0">
      <w:pPr>
        <w:jc w:val="center"/>
        <w:rPr>
          <w:b/>
          <w:bCs/>
          <w:i/>
          <w:iCs/>
          <w:color w:val="000000"/>
        </w:rPr>
      </w:pPr>
    </w:p>
    <w:p w14:paraId="176E00B3" w14:textId="77777777" w:rsidR="00705BF0" w:rsidRDefault="00705BF0" w:rsidP="00705BF0">
      <w:pPr>
        <w:jc w:val="center"/>
        <w:rPr>
          <w:b/>
          <w:bCs/>
          <w:i/>
          <w:iCs/>
          <w:color w:val="000000"/>
        </w:rPr>
      </w:pPr>
    </w:p>
    <w:p w14:paraId="7386DFF8" w14:textId="77777777" w:rsidR="00705BF0" w:rsidRDefault="00705BF0" w:rsidP="00705BF0">
      <w:pPr>
        <w:jc w:val="center"/>
        <w:rPr>
          <w:b/>
          <w:bCs/>
          <w:i/>
          <w:iCs/>
          <w:color w:val="000000"/>
        </w:rPr>
      </w:pPr>
    </w:p>
    <w:p w14:paraId="1691544F" w14:textId="77777777" w:rsidR="00705BF0" w:rsidRDefault="00705BF0" w:rsidP="00705BF0">
      <w:pPr>
        <w:jc w:val="center"/>
        <w:rPr>
          <w:b/>
          <w:bCs/>
          <w:i/>
          <w:iCs/>
          <w:color w:val="000000"/>
        </w:rPr>
      </w:pPr>
    </w:p>
    <w:p w14:paraId="665E7BE5" w14:textId="77777777" w:rsidR="00705BF0" w:rsidRPr="003D5269" w:rsidRDefault="00705BF0" w:rsidP="00705BF0"/>
    <w:p w14:paraId="3E01CD3E" w14:textId="77777777" w:rsidR="00705BF0" w:rsidRDefault="00705BF0" w:rsidP="00705BF0">
      <w:pPr>
        <w:jc w:val="center"/>
      </w:pPr>
      <w:r>
        <w:rPr>
          <w:b/>
          <w:bCs/>
          <w:i/>
          <w:iCs/>
          <w:color w:val="0000CC"/>
          <w:sz w:val="56"/>
          <w:szCs w:val="56"/>
        </w:rPr>
        <w:t>LA NUIT VIVALDI</w:t>
      </w:r>
    </w:p>
    <w:p w14:paraId="662B9E69" w14:textId="77777777" w:rsidR="00705BF0" w:rsidRDefault="00705BF0" w:rsidP="00705BF0"/>
    <w:p w14:paraId="326908A6" w14:textId="6A878264" w:rsidR="00705BF0" w:rsidRDefault="00705BF0" w:rsidP="00705BF0">
      <w:pPr>
        <w:jc w:val="both"/>
      </w:pPr>
      <w:r>
        <w:t xml:space="preserve">Virtuose le plus admiré de son temps, inventeur du concerto pour soliste, compositeur de référence de la période baroque, le </w:t>
      </w:r>
      <w:r>
        <w:rPr>
          <w:i/>
          <w:iCs/>
        </w:rPr>
        <w:t>Prêtre Roux</w:t>
      </w:r>
      <w:r>
        <w:t xml:space="preserve"> de Venise fait aussi partie des rares compositeurs ayant la faculté d’imprégner l'auditeur d'une mélodie qui lui restera à jamais gravé dans sa mémoire musicale dès la première écoute.</w:t>
      </w:r>
    </w:p>
    <w:p w14:paraId="25CB5942" w14:textId="77777777" w:rsidR="00705BF0" w:rsidRDefault="00705BF0" w:rsidP="00705BF0">
      <w:pPr>
        <w:jc w:val="both"/>
      </w:pPr>
      <w:r>
        <w:t>Que ce soit pour les instruments à cordes, les instruments à vents ou pour la voix dans ses opéras, Vivaldi aura su marquer de son génie tous les genres musicaux.</w:t>
      </w:r>
    </w:p>
    <w:p w14:paraId="5831722C" w14:textId="77777777" w:rsidR="00CF0F00" w:rsidRDefault="00CF0F00" w:rsidP="00705BF0">
      <w:pPr>
        <w:jc w:val="both"/>
      </w:pPr>
    </w:p>
    <w:p w14:paraId="240D07A9" w14:textId="77777777" w:rsidR="00CF0F00" w:rsidRDefault="00CF0F00" w:rsidP="00705BF0">
      <w:pPr>
        <w:jc w:val="both"/>
      </w:pPr>
    </w:p>
    <w:p w14:paraId="443093B3" w14:textId="64F0121E" w:rsidR="00CF0F00" w:rsidRPr="00CF0F00" w:rsidRDefault="00CF0F00" w:rsidP="00705BF0">
      <w:pPr>
        <w:jc w:val="both"/>
        <w:rPr>
          <w:b/>
          <w:bCs/>
          <w:color w:val="0070C0"/>
        </w:rPr>
      </w:pPr>
      <w:r w:rsidRPr="00CF0F00">
        <w:rPr>
          <w:b/>
          <w:bCs/>
          <w:color w:val="0070C0"/>
        </w:rPr>
        <w:t>Nicolas Krauze :</w:t>
      </w:r>
    </w:p>
    <w:p w14:paraId="1D1F0FE1" w14:textId="77777777" w:rsidR="00CF0F00" w:rsidRPr="00442A75" w:rsidRDefault="00CF0F00" w:rsidP="00CF0F00">
      <w:pPr>
        <w:pStyle w:val="has-text-align-justify"/>
        <w:shd w:val="clear" w:color="auto" w:fill="FCFBF8"/>
        <w:jc w:val="both"/>
        <w:rPr>
          <w:rFonts w:asciiTheme="minorHAnsi" w:hAnsiTheme="minorHAnsi" w:cstheme="minorHAnsi"/>
          <w:sz w:val="22"/>
          <w:szCs w:val="22"/>
        </w:rPr>
      </w:pPr>
      <w:r w:rsidRPr="00442A75">
        <w:rPr>
          <w:rFonts w:asciiTheme="minorHAnsi" w:hAnsiTheme="minorHAnsi" w:cstheme="minorHAnsi"/>
          <w:sz w:val="22"/>
          <w:szCs w:val="22"/>
        </w:rPr>
        <w:t>Nicolas Krauze est premier chef invité de la Philharmonie Nationale d’Ukraine à Kiev.</w:t>
      </w:r>
    </w:p>
    <w:p w14:paraId="4BB0DD3D" w14:textId="77777777" w:rsidR="00CF0F00" w:rsidRPr="00442A75" w:rsidRDefault="00CF0F00" w:rsidP="00CF0F00">
      <w:pPr>
        <w:pStyle w:val="has-text-align-justify"/>
        <w:shd w:val="clear" w:color="auto" w:fill="FCFBF8"/>
        <w:jc w:val="both"/>
        <w:rPr>
          <w:rFonts w:asciiTheme="minorHAnsi" w:hAnsiTheme="minorHAnsi" w:cstheme="minorHAnsi"/>
          <w:sz w:val="22"/>
          <w:szCs w:val="22"/>
        </w:rPr>
      </w:pPr>
      <w:r w:rsidRPr="00442A75">
        <w:rPr>
          <w:rFonts w:asciiTheme="minorHAnsi" w:hAnsiTheme="minorHAnsi" w:cstheme="minorHAnsi"/>
          <w:sz w:val="22"/>
          <w:szCs w:val="22"/>
        </w:rPr>
        <w:t>Il est également directeur musical de l’Orchestre de Chambre</w:t>
      </w:r>
      <w:hyperlink r:id="rId4" w:history="1">
        <w:r w:rsidRPr="00442A75">
          <w:rPr>
            <w:rStyle w:val="Lienhypertexte"/>
            <w:rFonts w:asciiTheme="minorHAnsi" w:eastAsiaTheme="majorEastAsia" w:hAnsiTheme="minorHAnsi" w:cstheme="minorHAnsi"/>
            <w:sz w:val="22"/>
            <w:szCs w:val="22"/>
          </w:rPr>
          <w:t> </w:t>
        </w:r>
      </w:hyperlink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Nouvelle Europe</w:t>
      </w:r>
      <w:r w:rsidRPr="00442A75">
        <w:rPr>
          <w:rFonts w:asciiTheme="minorHAnsi" w:hAnsiTheme="minorHAnsi" w:cstheme="minorHAnsi"/>
          <w:sz w:val="22"/>
          <w:szCs w:val="22"/>
        </w:rPr>
        <w:t>.</w:t>
      </w:r>
    </w:p>
    <w:p w14:paraId="5B245755" w14:textId="77777777" w:rsidR="00CF0F00" w:rsidRPr="00442A75" w:rsidRDefault="00CF0F00" w:rsidP="00CF0F00">
      <w:pPr>
        <w:pStyle w:val="has-text-align-justify"/>
        <w:shd w:val="clear" w:color="auto" w:fill="FCFBF8"/>
        <w:jc w:val="both"/>
        <w:rPr>
          <w:rFonts w:asciiTheme="minorHAnsi" w:hAnsiTheme="minorHAnsi" w:cstheme="minorHAnsi"/>
          <w:sz w:val="22"/>
          <w:szCs w:val="22"/>
        </w:rPr>
      </w:pPr>
      <w:r w:rsidRPr="00442A75">
        <w:rPr>
          <w:rFonts w:asciiTheme="minorHAnsi" w:hAnsiTheme="minorHAnsi" w:cstheme="minorHAnsi"/>
          <w:sz w:val="22"/>
          <w:szCs w:val="22"/>
        </w:rPr>
        <w:t xml:space="preserve">Il est diplômé de l’Institut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Gnessine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et du Conservatoire Tchaïkovski de Moscou d’où il est sorti avec cinq premiers prix. Il a suivi l’enseignement et les conseils de chefs tels que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Gennady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Cherkassov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Edward Ambartsoumian, Nicolas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Brochot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Zsolt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Nagy et Christoph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Eschenbach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>.</w:t>
      </w:r>
    </w:p>
    <w:p w14:paraId="1C37407B" w14:textId="77777777" w:rsidR="00CF0F00" w:rsidRPr="00442A75" w:rsidRDefault="00CF0F00" w:rsidP="00CF0F00">
      <w:pPr>
        <w:pStyle w:val="has-text-align-justify"/>
        <w:shd w:val="clear" w:color="auto" w:fill="FCFBF8"/>
        <w:jc w:val="both"/>
        <w:rPr>
          <w:rFonts w:asciiTheme="minorHAnsi" w:hAnsiTheme="minorHAnsi" w:cstheme="minorHAnsi"/>
          <w:sz w:val="22"/>
          <w:szCs w:val="22"/>
        </w:rPr>
      </w:pPr>
      <w:r w:rsidRPr="00442A75">
        <w:rPr>
          <w:rFonts w:asciiTheme="minorHAnsi" w:hAnsiTheme="minorHAnsi" w:cstheme="minorHAnsi"/>
          <w:sz w:val="22"/>
          <w:szCs w:val="22"/>
        </w:rPr>
        <w:t>En France il a récemment a été invité à diriger l’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National d’Île de France, </w:t>
      </w:r>
      <w:r w:rsidRPr="00442A75">
        <w:rPr>
          <w:rFonts w:asciiTheme="minorHAnsi" w:hAnsiTheme="minorHAnsi" w:cstheme="minorHAnsi"/>
          <w:sz w:val="22"/>
          <w:szCs w:val="22"/>
        </w:rPr>
        <w:t>l’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et Opéra National de Montpellier Languedoc-Roussillon, </w:t>
      </w:r>
      <w:r w:rsidRPr="00442A75">
        <w:rPr>
          <w:rFonts w:asciiTheme="minorHAnsi" w:hAnsiTheme="minorHAnsi" w:cstheme="minorHAnsi"/>
          <w:sz w:val="22"/>
          <w:szCs w:val="22"/>
        </w:rPr>
        <w:t>l’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National de Lorraine, </w:t>
      </w:r>
      <w:r w:rsidRPr="00442A75">
        <w:rPr>
          <w:rFonts w:asciiTheme="minorHAnsi" w:hAnsiTheme="minorHAnsi" w:cstheme="minorHAnsi"/>
          <w:sz w:val="22"/>
          <w:szCs w:val="22"/>
        </w:rPr>
        <w:t>l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‘Orchestre d’Avignon-Provence, </w:t>
      </w:r>
      <w:r w:rsidRPr="00442A75">
        <w:rPr>
          <w:rFonts w:asciiTheme="minorHAnsi" w:hAnsiTheme="minorHAnsi" w:cstheme="minorHAnsi"/>
          <w:sz w:val="22"/>
          <w:szCs w:val="22"/>
        </w:rPr>
        <w:t>l’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Lamoureux, </w:t>
      </w:r>
      <w:r w:rsidRPr="00442A75">
        <w:rPr>
          <w:rFonts w:asciiTheme="minorHAnsi" w:hAnsiTheme="minorHAnsi" w:cstheme="minorHAnsi"/>
          <w:sz w:val="22"/>
          <w:szCs w:val="22"/>
        </w:rPr>
        <w:t>l’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de Chambre de Versailles </w:t>
      </w:r>
      <w:r w:rsidRPr="00442A75">
        <w:rPr>
          <w:rFonts w:asciiTheme="minorHAnsi" w:hAnsiTheme="minorHAnsi" w:cstheme="minorHAnsi"/>
          <w:sz w:val="22"/>
          <w:szCs w:val="22"/>
        </w:rPr>
        <w:t>et l’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Symphonique régional de Limoges.</w:t>
      </w:r>
    </w:p>
    <w:p w14:paraId="0EB1780B" w14:textId="77777777" w:rsidR="00CF0F00" w:rsidRPr="00442A75" w:rsidRDefault="00CF0F00" w:rsidP="00CF0F00">
      <w:pPr>
        <w:pStyle w:val="has-text-align-justify"/>
        <w:shd w:val="clear" w:color="auto" w:fill="FCFBF8"/>
        <w:jc w:val="both"/>
        <w:rPr>
          <w:rFonts w:asciiTheme="minorHAnsi" w:hAnsiTheme="minorHAnsi" w:cstheme="minorHAnsi"/>
          <w:sz w:val="22"/>
          <w:szCs w:val="22"/>
        </w:rPr>
      </w:pPr>
      <w:r w:rsidRPr="00442A75">
        <w:rPr>
          <w:rFonts w:asciiTheme="minorHAnsi" w:hAnsiTheme="minorHAnsi" w:cstheme="minorHAnsi"/>
          <w:sz w:val="22"/>
          <w:szCs w:val="22"/>
        </w:rPr>
        <w:t>A l’étranger, il connait une carrière en pleine ascension, et s’est produit et se produira prochainement avec certains des principaux orchestres symphoniques nationaux en Italie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des Arènes de Vérone</w:t>
      </w:r>
      <w:r w:rsidRPr="00442A75">
        <w:rPr>
          <w:rFonts w:asciiTheme="minorHAnsi" w:hAnsiTheme="minorHAnsi" w:cstheme="minorHAnsi"/>
          <w:sz w:val="22"/>
          <w:szCs w:val="22"/>
        </w:rPr>
        <w:t>, 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National de Palerme, Orchestres symphoniques de Lecce et de Bari</w:t>
      </w:r>
      <w:r w:rsidRPr="00442A75">
        <w:rPr>
          <w:rFonts w:asciiTheme="minorHAnsi" w:hAnsiTheme="minorHAnsi" w:cstheme="minorHAnsi"/>
          <w:sz w:val="22"/>
          <w:szCs w:val="22"/>
        </w:rPr>
        <w:t>), Pologne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 xml:space="preserve">Orchestres symphoniques de Bialystok, Lublin, Szczecin, Kielce, Wroclaw, </w:t>
      </w:r>
      <w:proofErr w:type="spellStart"/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Lomza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>), Hongrie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symphonique de Györ</w:t>
      </w:r>
      <w:r w:rsidRPr="00442A75">
        <w:rPr>
          <w:rFonts w:asciiTheme="minorHAnsi" w:hAnsiTheme="minorHAnsi" w:cstheme="minorHAnsi"/>
          <w:sz w:val="22"/>
          <w:szCs w:val="22"/>
        </w:rPr>
        <w:t>, 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Philharmonie de Budapest</w:t>
      </w:r>
      <w:r w:rsidRPr="00442A75">
        <w:rPr>
          <w:rFonts w:asciiTheme="minorHAnsi" w:hAnsiTheme="minorHAnsi" w:cstheme="minorHAnsi"/>
          <w:sz w:val="22"/>
          <w:szCs w:val="22"/>
        </w:rPr>
        <w:t>), République Tchèque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symphonique d’Olomouc</w:t>
      </w:r>
      <w:r w:rsidRPr="00442A75">
        <w:rPr>
          <w:rFonts w:asciiTheme="minorHAnsi" w:hAnsiTheme="minorHAnsi" w:cstheme="minorHAnsi"/>
          <w:sz w:val="22"/>
          <w:szCs w:val="22"/>
        </w:rPr>
        <w:t>), Roumanie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 xml:space="preserve">Orchestre symphonique de </w:t>
      </w:r>
      <w:proofErr w:type="spellStart"/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Bucharest</w:t>
      </w:r>
      <w:proofErr w:type="spellEnd"/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, Orchestre symphonique de Sibiu), </w:t>
      </w:r>
      <w:r w:rsidRPr="00442A75">
        <w:rPr>
          <w:rFonts w:asciiTheme="minorHAnsi" w:hAnsiTheme="minorHAnsi" w:cstheme="minorHAnsi"/>
          <w:sz w:val="22"/>
          <w:szCs w:val="22"/>
        </w:rPr>
        <w:t>Autriche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Wiener Concert-</w:t>
      </w:r>
      <w:proofErr w:type="spellStart"/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Verein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>), Grèce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National d’Athènes</w:t>
      </w:r>
      <w:r w:rsidRPr="00442A75">
        <w:rPr>
          <w:rFonts w:asciiTheme="minorHAnsi" w:hAnsiTheme="minorHAnsi" w:cstheme="minorHAnsi"/>
          <w:sz w:val="22"/>
          <w:szCs w:val="22"/>
        </w:rPr>
        <w:t>), Equateur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Orchestres symphoniques de Guayaquil, Cuenca et Loja</w:t>
      </w:r>
      <w:r w:rsidRPr="00442A75">
        <w:rPr>
          <w:rFonts w:asciiTheme="minorHAnsi" w:hAnsiTheme="minorHAnsi" w:cstheme="minorHAnsi"/>
          <w:sz w:val="22"/>
          <w:szCs w:val="22"/>
        </w:rPr>
        <w:t>) ainsi qu’au Kazakhstan (</w:t>
      </w:r>
      <w:r w:rsidRPr="00442A75">
        <w:rPr>
          <w:rStyle w:val="Accentuation"/>
          <w:rFonts w:asciiTheme="minorHAnsi" w:eastAsiaTheme="majorEastAsia" w:hAnsiTheme="minorHAnsi" w:cstheme="minorHAnsi"/>
          <w:sz w:val="22"/>
          <w:szCs w:val="22"/>
        </w:rPr>
        <w:t>Orchestre National d’Almaty et Philharmonie d’État du Kazakhstan</w:t>
      </w:r>
      <w:r w:rsidRPr="00442A75">
        <w:rPr>
          <w:rFonts w:asciiTheme="minorHAnsi" w:hAnsiTheme="minorHAnsi" w:cstheme="minorHAnsi"/>
          <w:sz w:val="22"/>
          <w:szCs w:val="22"/>
        </w:rPr>
        <w:t>).</w:t>
      </w:r>
    </w:p>
    <w:p w14:paraId="4956EACE" w14:textId="77777777" w:rsidR="00CF0F00" w:rsidRPr="00442A75" w:rsidRDefault="00CF0F00" w:rsidP="00CF0F00">
      <w:pPr>
        <w:pStyle w:val="has-text-align-justify"/>
        <w:shd w:val="clear" w:color="auto" w:fill="FCFBF8"/>
        <w:jc w:val="both"/>
        <w:rPr>
          <w:rFonts w:asciiTheme="minorHAnsi" w:hAnsiTheme="minorHAnsi" w:cstheme="minorHAnsi"/>
          <w:sz w:val="22"/>
          <w:szCs w:val="22"/>
        </w:rPr>
      </w:pPr>
      <w:r w:rsidRPr="00442A75">
        <w:rPr>
          <w:rFonts w:asciiTheme="minorHAnsi" w:hAnsiTheme="minorHAnsi" w:cstheme="minorHAnsi"/>
          <w:sz w:val="22"/>
          <w:szCs w:val="22"/>
        </w:rPr>
        <w:t xml:space="preserve">Il a récemment dirigé des solistes tels que François-René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Duchâble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Alexandre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Kantorow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Henri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Demarquette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Nemanja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Radulovic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Sergeï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Nakariakov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Lise de la Salle,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Vadym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Kholodenko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Alena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Baeva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Gérard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Caussé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Remi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Geniet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Alexandra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Soumm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Edgar Moreau,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Svetlin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Roussev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Tatjana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Vassiljeva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Plamena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Mangova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Aylen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Pritchin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Rémi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Geniet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David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Grimal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Nicolas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Dautricourt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Jean-François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Zygel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François-Joël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Thiollier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Sandor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Javorkaï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Maja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Bogdanovic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Romain Leleu, Marc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Laforet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François Dumont, Yan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Levionnois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Krzysztof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Jakowicz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, Julian Trevelyan ou encore Denis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Kozhukhin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>.</w:t>
      </w:r>
    </w:p>
    <w:p w14:paraId="267AAC24" w14:textId="77777777" w:rsidR="00CF0F00" w:rsidRPr="00442A75" w:rsidRDefault="00CF0F00" w:rsidP="00CF0F00">
      <w:pPr>
        <w:pStyle w:val="has-text-align-justify"/>
        <w:shd w:val="clear" w:color="auto" w:fill="FCFBF8"/>
        <w:jc w:val="both"/>
        <w:rPr>
          <w:rFonts w:asciiTheme="minorHAnsi" w:hAnsiTheme="minorHAnsi" w:cstheme="minorHAnsi"/>
          <w:sz w:val="22"/>
          <w:szCs w:val="22"/>
        </w:rPr>
      </w:pPr>
      <w:r w:rsidRPr="00442A75">
        <w:rPr>
          <w:rFonts w:asciiTheme="minorHAnsi" w:hAnsiTheme="minorHAnsi" w:cstheme="minorHAnsi"/>
          <w:sz w:val="22"/>
          <w:szCs w:val="22"/>
        </w:rPr>
        <w:lastRenderedPageBreak/>
        <w:t xml:space="preserve">Dans le domaine lyrique, il a été invité à diriger en tournées plusieurs productions totalisant une centaine de représentations en Europe (Faust, Aida, L’élixir d’amour, La fille du régiment, Don Pasquale, Les Noces de Figaro,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Cavalleria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2A75">
        <w:rPr>
          <w:rFonts w:asciiTheme="minorHAnsi" w:hAnsiTheme="minorHAnsi" w:cstheme="minorHAnsi"/>
          <w:sz w:val="22"/>
          <w:szCs w:val="22"/>
        </w:rPr>
        <w:t>Rusticana</w:t>
      </w:r>
      <w:proofErr w:type="spellEnd"/>
      <w:r w:rsidRPr="00442A75">
        <w:rPr>
          <w:rFonts w:asciiTheme="minorHAnsi" w:hAnsiTheme="minorHAnsi" w:cstheme="minorHAnsi"/>
          <w:sz w:val="22"/>
          <w:szCs w:val="22"/>
        </w:rPr>
        <w:t>, Trois Valses, La Veuve Joyeuse, La vie parisienne…).</w:t>
      </w:r>
    </w:p>
    <w:p w14:paraId="71E080B7" w14:textId="77777777" w:rsidR="00CF0F00" w:rsidRDefault="00CF0F00" w:rsidP="00705BF0">
      <w:pPr>
        <w:jc w:val="both"/>
      </w:pPr>
    </w:p>
    <w:p w14:paraId="549AF096" w14:textId="77777777" w:rsidR="00CF0F00" w:rsidRDefault="00CF0F00" w:rsidP="00705BF0">
      <w:pPr>
        <w:jc w:val="both"/>
        <w:rPr>
          <w:i/>
          <w:iCs/>
          <w:color w:val="000000"/>
        </w:rPr>
      </w:pPr>
    </w:p>
    <w:p w14:paraId="31D6F0CA" w14:textId="1E582376" w:rsidR="00705BF0" w:rsidRDefault="00CF0F00" w:rsidP="00CF0F00">
      <w:pPr>
        <w:rPr>
          <w:b/>
          <w:bCs/>
          <w:color w:val="0070C0"/>
        </w:rPr>
      </w:pPr>
      <w:r w:rsidRPr="00CF0F00">
        <w:rPr>
          <w:b/>
          <w:bCs/>
          <w:color w:val="0070C0"/>
        </w:rPr>
        <w:t>Solistes :</w:t>
      </w:r>
    </w:p>
    <w:p w14:paraId="1DDD05C0" w14:textId="237FFD31" w:rsidR="00CF0F00" w:rsidRPr="00CF0F00" w:rsidRDefault="00CF0F00" w:rsidP="00CF0F00">
      <w:r w:rsidRPr="00CF0F00">
        <w:t>En attente du noms des solistes invités. Infos courant avril 25.</w:t>
      </w:r>
    </w:p>
    <w:p w14:paraId="7F36181F" w14:textId="77777777" w:rsidR="00CF0F00" w:rsidRPr="00CF0F00" w:rsidRDefault="00CF0F00" w:rsidP="00CF0F00">
      <w:pPr>
        <w:rPr>
          <w:b/>
          <w:bCs/>
          <w:color w:val="0070C0"/>
        </w:rPr>
      </w:pPr>
    </w:p>
    <w:p w14:paraId="7A5B0F65" w14:textId="77777777" w:rsidR="00CF0F00" w:rsidRDefault="00CF0F00" w:rsidP="00705BF0">
      <w:pPr>
        <w:jc w:val="center"/>
      </w:pPr>
    </w:p>
    <w:p w14:paraId="201D15EB" w14:textId="77777777" w:rsidR="00705BF0" w:rsidRDefault="00705BF0" w:rsidP="00705BF0">
      <w:pPr>
        <w:jc w:val="center"/>
        <w:rPr>
          <w:b/>
          <w:bCs/>
          <w:i/>
          <w:iCs/>
          <w:color w:val="000000"/>
        </w:rPr>
      </w:pPr>
    </w:p>
    <w:p w14:paraId="31B57BC5" w14:textId="77777777" w:rsidR="00705BF0" w:rsidRDefault="00705BF0" w:rsidP="00705BF0">
      <w:pPr>
        <w:jc w:val="center"/>
      </w:pPr>
    </w:p>
    <w:sectPr w:rsidR="0070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69"/>
    <w:rsid w:val="000A76FD"/>
    <w:rsid w:val="002C632A"/>
    <w:rsid w:val="00393ACC"/>
    <w:rsid w:val="003D5269"/>
    <w:rsid w:val="0052721A"/>
    <w:rsid w:val="00705BF0"/>
    <w:rsid w:val="007B6EF4"/>
    <w:rsid w:val="00836B50"/>
    <w:rsid w:val="00897155"/>
    <w:rsid w:val="009233C7"/>
    <w:rsid w:val="009318CA"/>
    <w:rsid w:val="00960EFB"/>
    <w:rsid w:val="00982C8E"/>
    <w:rsid w:val="00B23FB7"/>
    <w:rsid w:val="00B82B61"/>
    <w:rsid w:val="00CF0F00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DD42"/>
  <w15:chartTrackingRefBased/>
  <w15:docId w15:val="{7537DF8B-3701-4FEE-BD11-15245F6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00"/>
  </w:style>
  <w:style w:type="paragraph" w:styleId="Titre1">
    <w:name w:val="heading 1"/>
    <w:basedOn w:val="Normal"/>
    <w:next w:val="Normal"/>
    <w:link w:val="Titre1Car"/>
    <w:uiPriority w:val="9"/>
    <w:qFormat/>
    <w:rsid w:val="003D5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5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5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5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5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5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5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5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5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526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526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52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52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52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52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5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5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5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52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526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526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526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D52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5269"/>
    <w:rPr>
      <w:color w:val="605E5C"/>
      <w:shd w:val="clear" w:color="auto" w:fill="E1DFDD"/>
    </w:rPr>
  </w:style>
  <w:style w:type="paragraph" w:customStyle="1" w:styleId="has-text-align-justify">
    <w:name w:val="has-text-align-justify"/>
    <w:basedOn w:val="Normal"/>
    <w:rsid w:val="00CF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CF0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chestre-nouvelle-europ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Moiroud</dc:creator>
  <cp:keywords/>
  <dc:description/>
  <cp:lastModifiedBy>Nathalie Moiroud</cp:lastModifiedBy>
  <cp:revision>7</cp:revision>
  <dcterms:created xsi:type="dcterms:W3CDTF">2025-01-30T16:06:00Z</dcterms:created>
  <dcterms:modified xsi:type="dcterms:W3CDTF">2025-03-28T12:55:00Z</dcterms:modified>
</cp:coreProperties>
</file>